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1B3" w:rsidRDefault="00D371B3" w:rsidP="00D371B3">
      <w:pPr>
        <w:rPr>
          <w:rFonts w:cs="Arial"/>
          <w:b/>
          <w:bCs/>
          <w:sz w:val="20"/>
          <w:szCs w:val="20"/>
        </w:rPr>
      </w:pPr>
      <w:bookmarkStart w:id="0" w:name="_GoBack"/>
      <w:bookmarkEnd w:id="0"/>
      <w:r>
        <w:rPr>
          <w:rFonts w:cs="Arial"/>
          <w:b/>
          <w:bCs/>
          <w:sz w:val="20"/>
          <w:szCs w:val="20"/>
        </w:rPr>
        <w:t>ONR/T3245</w:t>
      </w:r>
    </w:p>
    <w:p w:rsidR="00D371B3" w:rsidRDefault="00D371B3" w:rsidP="00D371B3">
      <w:pPr>
        <w:rPr>
          <w:rFonts w:cs="Arial"/>
          <w:b/>
          <w:bCs/>
          <w:sz w:val="20"/>
          <w:szCs w:val="20"/>
        </w:rPr>
      </w:pPr>
      <w:r>
        <w:rPr>
          <w:rFonts w:cs="Arial"/>
          <w:b/>
          <w:bCs/>
          <w:sz w:val="20"/>
          <w:szCs w:val="20"/>
        </w:rPr>
        <w:t>Schedule A</w:t>
      </w:r>
    </w:p>
    <w:p w:rsidR="00D371B3" w:rsidRDefault="009865DD" w:rsidP="00D371B3">
      <w:pPr>
        <w:jc w:val="center"/>
        <w:rPr>
          <w:rFonts w:cs="Arial"/>
          <w:b/>
          <w:bCs/>
          <w:sz w:val="24"/>
        </w:rPr>
      </w:pPr>
      <w:r>
        <w:rPr>
          <w:rFonts w:cs="Arial"/>
          <w:b/>
          <w:bCs/>
          <w:noProof/>
          <w:sz w:val="24"/>
          <w:lang w:eastAsia="en-GB"/>
        </w:rPr>
        <w:drawing>
          <wp:anchor distT="288290" distB="0" distL="288290" distR="114300" simplePos="0" relativeHeight="251658240" behindDoc="0" locked="0" layoutInCell="1" allowOverlap="0">
            <wp:simplePos x="0" y="0"/>
            <wp:positionH relativeFrom="page">
              <wp:posOffset>212090</wp:posOffset>
            </wp:positionH>
            <wp:positionV relativeFrom="page">
              <wp:posOffset>366395</wp:posOffset>
            </wp:positionV>
            <wp:extent cx="6572250" cy="619125"/>
            <wp:effectExtent l="0" t="0" r="0" b="9525"/>
            <wp:wrapNone/>
            <wp:docPr id="2" name="Picture 2"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RlogoA4col_hi"/>
                    <pic:cNvPicPr>
                      <a:picLocks noChangeAspect="1" noChangeArrowheads="1"/>
                    </pic:cNvPicPr>
                  </pic:nvPicPr>
                  <pic:blipFill>
                    <a:blip r:embed="rId9" cstate="print">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pic:spPr>
                </pic:pic>
              </a:graphicData>
            </a:graphic>
            <wp14:sizeRelH relativeFrom="page">
              <wp14:pctWidth>0</wp14:pctWidth>
            </wp14:sizeRelH>
            <wp14:sizeRelV relativeFrom="page">
              <wp14:pctHeight>0</wp14:pctHeight>
            </wp14:sizeRelV>
          </wp:anchor>
        </w:drawing>
      </w:r>
      <w:r w:rsidR="00AE199F" w:rsidRPr="00D371B3">
        <w:rPr>
          <w:rFonts w:cs="Arial"/>
          <w:b/>
          <w:bCs/>
          <w:sz w:val="24"/>
        </w:rPr>
        <w:t>STATE</w:t>
      </w:r>
      <w:r w:rsidR="00D371B3">
        <w:rPr>
          <w:rFonts w:cs="Arial"/>
          <w:b/>
          <w:bCs/>
          <w:sz w:val="24"/>
        </w:rPr>
        <w:t>MENT OF SERVICE REQUIREMENT FOR</w:t>
      </w:r>
    </w:p>
    <w:p w:rsidR="00AE199F" w:rsidRPr="00D371B3" w:rsidRDefault="00AE199F" w:rsidP="00D371B3">
      <w:pPr>
        <w:jc w:val="center"/>
        <w:rPr>
          <w:rFonts w:cs="Arial"/>
          <w:sz w:val="24"/>
        </w:rPr>
      </w:pPr>
      <w:r w:rsidRPr="00D371B3">
        <w:rPr>
          <w:rFonts w:cs="Arial"/>
          <w:b/>
          <w:bCs/>
          <w:sz w:val="24"/>
        </w:rPr>
        <w:t xml:space="preserve">THE PROVISION OF </w:t>
      </w:r>
      <w:r w:rsidR="0034088F" w:rsidRPr="00D371B3">
        <w:rPr>
          <w:rFonts w:cs="Arial"/>
          <w:b/>
          <w:bCs/>
          <w:sz w:val="24"/>
        </w:rPr>
        <w:t>BEHAVIOURAL ASSESSMENT SERVICES FOR THE ONR TECHNICAL SUPPORT FRAMEWORK PROCUREMENT</w:t>
      </w:r>
    </w:p>
    <w:p w:rsidR="009B5159" w:rsidRDefault="009B5159" w:rsidP="009B5159"/>
    <w:p w:rsidR="00AE199F" w:rsidRPr="00CA2D8A" w:rsidRDefault="00AE199F" w:rsidP="00AE199F">
      <w:pPr>
        <w:pStyle w:val="TSHeadingNumbered1"/>
      </w:pPr>
      <w:r w:rsidRPr="00CA2D8A">
        <w:t>BACKGROUND TO THE PROJECT</w:t>
      </w:r>
    </w:p>
    <w:p w:rsidR="009B5159" w:rsidRDefault="00D371B3" w:rsidP="00D371B3">
      <w:pPr>
        <w:pStyle w:val="TSNumberedParagraph11"/>
        <w:numPr>
          <w:ilvl w:val="0"/>
          <w:numId w:val="0"/>
        </w:numPr>
        <w:ind w:left="720" w:hanging="720"/>
        <w:jc w:val="both"/>
      </w:pPr>
      <w:r>
        <w:t>1.1</w:t>
      </w:r>
      <w:r>
        <w:tab/>
      </w:r>
      <w:r w:rsidR="00A864A6" w:rsidRPr="008F0015">
        <w:t>The current ONR Technical Support Framework</w:t>
      </w:r>
      <w:r w:rsidR="00A43CE8" w:rsidRPr="008F0015">
        <w:t xml:space="preserve"> (TSF)</w:t>
      </w:r>
      <w:r w:rsidR="00A864A6" w:rsidRPr="008F0015">
        <w:t xml:space="preserve"> will expire in October 2018. ONR has developed a new</w:t>
      </w:r>
      <w:r w:rsidR="00A43CE8" w:rsidRPr="008F0015">
        <w:t xml:space="preserve"> TSF</w:t>
      </w:r>
      <w:r w:rsidR="00A864A6" w:rsidRPr="008F0015">
        <w:t xml:space="preserve"> model </w:t>
      </w:r>
      <w:r w:rsidR="00C67082" w:rsidRPr="008F0015">
        <w:t xml:space="preserve">with a reduced number of ‘tier 1’ </w:t>
      </w:r>
      <w:r w:rsidR="009108E4" w:rsidRPr="008F0015">
        <w:t xml:space="preserve">nuclear supply chain </w:t>
      </w:r>
      <w:r w:rsidR="00C67082" w:rsidRPr="008F0015">
        <w:t>suppliers</w:t>
      </w:r>
      <w:r w:rsidR="003C4CFD" w:rsidRPr="008F0015">
        <w:t>, which is intended</w:t>
      </w:r>
      <w:r w:rsidR="00C67082" w:rsidRPr="008F0015">
        <w:t xml:space="preserve"> </w:t>
      </w:r>
      <w:r w:rsidR="00A864A6" w:rsidRPr="008F0015">
        <w:t xml:space="preserve">to be implemented </w:t>
      </w:r>
      <w:r w:rsidR="00A43CE8" w:rsidRPr="008F0015">
        <w:t xml:space="preserve">in November 2018 </w:t>
      </w:r>
      <w:r w:rsidR="003C4CFD" w:rsidRPr="008F0015">
        <w:t xml:space="preserve">following </w:t>
      </w:r>
      <w:r w:rsidR="00A864A6" w:rsidRPr="008F0015">
        <w:t>the successful conclusion of the OJEU procurement process currently underway.</w:t>
      </w:r>
      <w:r w:rsidR="008C6A36" w:rsidRPr="008F0015">
        <w:t xml:space="preserve"> As part of the </w:t>
      </w:r>
      <w:r w:rsidR="003C4CFD" w:rsidRPr="008F0015">
        <w:t xml:space="preserve">planned </w:t>
      </w:r>
      <w:r w:rsidR="008C6A36" w:rsidRPr="008F0015">
        <w:t xml:space="preserve">evaluation of </w:t>
      </w:r>
      <w:r w:rsidR="003C4CFD" w:rsidRPr="008F0015">
        <w:t xml:space="preserve">Invitation to Tender </w:t>
      </w:r>
      <w:r w:rsidR="005507DA" w:rsidRPr="008F0015">
        <w:t xml:space="preserve">(ITT) </w:t>
      </w:r>
      <w:r w:rsidR="000E4BE5" w:rsidRPr="008F0015">
        <w:t>responses</w:t>
      </w:r>
      <w:r w:rsidR="008C6A36" w:rsidRPr="008F0015">
        <w:t>, ONR intends to undertake a behavioural assessment o</w:t>
      </w:r>
      <w:r w:rsidR="00C67082" w:rsidRPr="008F0015">
        <w:t xml:space="preserve">f potential Framework suppliers to ensure alignment of the reduced number of ‘strategic’ Tier 1 suppliers with </w:t>
      </w:r>
      <w:r w:rsidR="003C4CFD" w:rsidRPr="008F0015">
        <w:t>required</w:t>
      </w:r>
      <w:r w:rsidR="00C67082" w:rsidRPr="008F0015">
        <w:t xml:space="preserve"> ONR behaviours and ways of working.</w:t>
      </w:r>
      <w:r w:rsidR="00A43CE8" w:rsidRPr="008F0015">
        <w:t xml:space="preserve"> Given the specialist nature of behavioural assessment, ONR therefore needs to engage external expertise to assist with the design and delivery of an appropriate assessment process.</w:t>
      </w:r>
    </w:p>
    <w:p w:rsidR="00EC719D" w:rsidRPr="008F0015" w:rsidRDefault="00D371B3" w:rsidP="00D371B3">
      <w:pPr>
        <w:pStyle w:val="TSNumberedParagraph11"/>
        <w:numPr>
          <w:ilvl w:val="0"/>
          <w:numId w:val="0"/>
        </w:numPr>
        <w:ind w:left="720" w:hanging="720"/>
        <w:jc w:val="both"/>
      </w:pPr>
      <w:r>
        <w:t>1.2</w:t>
      </w:r>
      <w:r>
        <w:tab/>
      </w:r>
      <w:r w:rsidR="00EC719D">
        <w:t xml:space="preserve">Further background to the Framework model can be found in the appended TSF Selection </w:t>
      </w:r>
      <w:r w:rsidR="00C76587">
        <w:t>Stage Procurement Documentation, attached as Schedule A, Annex 1</w:t>
      </w:r>
    </w:p>
    <w:p w:rsidR="00AE199F" w:rsidRPr="008F0015" w:rsidRDefault="00AE199F" w:rsidP="00AE199F">
      <w:pPr>
        <w:pStyle w:val="TSHeadingNumbered1"/>
      </w:pPr>
      <w:r w:rsidRPr="00CA2D8A">
        <w:t>SCOPE OF THE SERVICES REQUIRED</w:t>
      </w:r>
    </w:p>
    <w:p w:rsidR="005507DA" w:rsidRPr="008F0015" w:rsidRDefault="00D1255F" w:rsidP="00E9478E">
      <w:pPr>
        <w:pStyle w:val="TSNumberedParagraph11"/>
        <w:jc w:val="both"/>
      </w:pPr>
      <w:r w:rsidRPr="008F0015">
        <w:t>T</w:t>
      </w:r>
      <w:r w:rsidR="005507DA" w:rsidRPr="008F0015">
        <w:t>he scope of services required by the ONR TSF Project is as follows:</w:t>
      </w:r>
    </w:p>
    <w:p w:rsidR="00254AE9" w:rsidRPr="008F0015" w:rsidRDefault="00254AE9" w:rsidP="00D1255F">
      <w:pPr>
        <w:ind w:firstLine="720"/>
        <w:jc w:val="both"/>
        <w:rPr>
          <w:b/>
        </w:rPr>
      </w:pPr>
      <w:r w:rsidRPr="008F0015">
        <w:rPr>
          <w:b/>
        </w:rPr>
        <w:t xml:space="preserve">Phase 1: </w:t>
      </w:r>
    </w:p>
    <w:p w:rsidR="00254AE9" w:rsidRPr="008F0015" w:rsidRDefault="00254AE9" w:rsidP="00E9478E">
      <w:pPr>
        <w:jc w:val="both"/>
      </w:pPr>
    </w:p>
    <w:p w:rsidR="00D1255F" w:rsidRPr="008F0015" w:rsidRDefault="005507DA" w:rsidP="00D1255F">
      <w:pPr>
        <w:numPr>
          <w:ilvl w:val="0"/>
          <w:numId w:val="27"/>
        </w:numPr>
        <w:tabs>
          <w:tab w:val="left" w:pos="1134"/>
        </w:tabs>
        <w:jc w:val="both"/>
      </w:pPr>
      <w:r w:rsidRPr="008F0015">
        <w:t xml:space="preserve">Designing (working in collaboration with the ONR Project team and under the direction of the ONR project manager) an appropriate </w:t>
      </w:r>
      <w:r w:rsidR="009108E4" w:rsidRPr="008F0015">
        <w:t xml:space="preserve">documented </w:t>
      </w:r>
      <w:r w:rsidRPr="008F0015">
        <w:t>behavioural assessment process to be deployed as part of the ONR selection of TSF suppliers during the ITT evaluation – this is expected to take the form of a scenario-based workshop-style event/s with each of the suppliers participating in the TSF ‘Lot 2’</w:t>
      </w:r>
      <w:r w:rsidR="00D1255F" w:rsidRPr="008F0015">
        <w:t xml:space="preserve"> ITT</w:t>
      </w:r>
      <w:r w:rsidR="00EC719D">
        <w:t xml:space="preserve">. </w:t>
      </w:r>
    </w:p>
    <w:p w:rsidR="009108E4" w:rsidRPr="008F0015" w:rsidRDefault="009108E4" w:rsidP="00D1255F">
      <w:pPr>
        <w:numPr>
          <w:ilvl w:val="0"/>
          <w:numId w:val="27"/>
        </w:numPr>
        <w:tabs>
          <w:tab w:val="left" w:pos="1134"/>
        </w:tabs>
        <w:jc w:val="both"/>
      </w:pPr>
      <w:r w:rsidRPr="008F0015">
        <w:t xml:space="preserve">Developing appropriate </w:t>
      </w:r>
      <w:r w:rsidR="002B05EC">
        <w:t xml:space="preserve">robust </w:t>
      </w:r>
      <w:r w:rsidRPr="008F0015">
        <w:t>behavioural assessment evaluation criteria against which</w:t>
      </w:r>
      <w:r w:rsidR="002B05EC">
        <w:t xml:space="preserve"> ITT participants can be scored.  The scoring mechanism must be </w:t>
      </w:r>
      <w:r w:rsidR="00A20010">
        <w:t>well-</w:t>
      </w:r>
      <w:r w:rsidR="002B05EC">
        <w:t>defined with a clear process for how scores will be applied.</w:t>
      </w:r>
    </w:p>
    <w:p w:rsidR="00254AE9" w:rsidRPr="008F0015" w:rsidRDefault="00254AE9" w:rsidP="00254AE9">
      <w:pPr>
        <w:jc w:val="both"/>
      </w:pPr>
    </w:p>
    <w:p w:rsidR="00254AE9" w:rsidRPr="008F0015" w:rsidRDefault="00254AE9" w:rsidP="00D1255F">
      <w:pPr>
        <w:ind w:firstLine="720"/>
        <w:jc w:val="both"/>
        <w:rPr>
          <w:b/>
        </w:rPr>
      </w:pPr>
      <w:r w:rsidRPr="008F0015">
        <w:rPr>
          <w:b/>
        </w:rPr>
        <w:t xml:space="preserve">Phase 2: </w:t>
      </w:r>
    </w:p>
    <w:p w:rsidR="00254AE9" w:rsidRPr="008F0015" w:rsidRDefault="00254AE9" w:rsidP="00254AE9">
      <w:pPr>
        <w:jc w:val="both"/>
      </w:pPr>
    </w:p>
    <w:p w:rsidR="005507DA" w:rsidRPr="008F0015" w:rsidRDefault="005507DA" w:rsidP="00D1255F">
      <w:pPr>
        <w:numPr>
          <w:ilvl w:val="0"/>
          <w:numId w:val="27"/>
        </w:numPr>
        <w:tabs>
          <w:tab w:val="left" w:pos="1134"/>
        </w:tabs>
        <w:jc w:val="both"/>
      </w:pPr>
      <w:r w:rsidRPr="008F0015">
        <w:t>Facilitating the behavioural assessment workshop/s</w:t>
      </w:r>
      <w:r w:rsidR="009108E4" w:rsidRPr="008F0015">
        <w:t xml:space="preserve"> involving ONR and ITT participants</w:t>
      </w:r>
      <w:r w:rsidR="0050333E">
        <w:t>.</w:t>
      </w:r>
    </w:p>
    <w:p w:rsidR="005507DA" w:rsidRDefault="005507DA" w:rsidP="00D1255F">
      <w:pPr>
        <w:numPr>
          <w:ilvl w:val="0"/>
          <w:numId w:val="27"/>
        </w:numPr>
        <w:tabs>
          <w:tab w:val="left" w:pos="1134"/>
        </w:tabs>
        <w:jc w:val="both"/>
      </w:pPr>
      <w:r w:rsidRPr="008F0015">
        <w:t xml:space="preserve">Providing </w:t>
      </w:r>
      <w:r w:rsidR="002B05EC">
        <w:t xml:space="preserve">robust </w:t>
      </w:r>
      <w:r w:rsidRPr="008F0015">
        <w:t xml:space="preserve">independent evaluation of </w:t>
      </w:r>
      <w:r w:rsidR="009108E4" w:rsidRPr="008F0015">
        <w:t>supplier behaviour (during the workshop process)</w:t>
      </w:r>
      <w:r w:rsidR="002B05EC">
        <w:t>, the results of which must be clearly</w:t>
      </w:r>
      <w:r w:rsidR="00A20010">
        <w:t xml:space="preserve"> evidenced</w:t>
      </w:r>
      <w:r w:rsidR="00A20010" w:rsidRPr="008F0015">
        <w:t xml:space="preserve"> </w:t>
      </w:r>
      <w:r w:rsidR="002B05EC">
        <w:t>and stand up to challenge</w:t>
      </w:r>
      <w:r w:rsidR="0050333E">
        <w:t>.</w:t>
      </w:r>
    </w:p>
    <w:p w:rsidR="008F0015" w:rsidRPr="008F0015" w:rsidRDefault="008F0015" w:rsidP="008F0015">
      <w:pPr>
        <w:tabs>
          <w:tab w:val="left" w:pos="1134"/>
        </w:tabs>
        <w:ind w:left="1080"/>
        <w:jc w:val="both"/>
      </w:pPr>
    </w:p>
    <w:p w:rsidR="008F0015" w:rsidRDefault="008F0015" w:rsidP="008F0015">
      <w:pPr>
        <w:ind w:left="720" w:hanging="720"/>
        <w:jc w:val="both"/>
      </w:pPr>
      <w:r>
        <w:t>2.2</w:t>
      </w:r>
      <w:r>
        <w:tab/>
      </w:r>
      <w:r w:rsidR="00254AE9" w:rsidRPr="008F0015">
        <w:t>ONR will be required to provide an outline of the behavioural assessment process and evaluation criteria to ITT participants within the ITT procurement documentation. This documentation is scheduled to be issued on or around 8</w:t>
      </w:r>
      <w:r w:rsidR="00254AE9" w:rsidRPr="008F0015">
        <w:rPr>
          <w:vertAlign w:val="superscript"/>
        </w:rPr>
        <w:t>th</w:t>
      </w:r>
      <w:r w:rsidR="00254AE9" w:rsidRPr="008F0015">
        <w:t xml:space="preserve"> June 2018. The appointed supplier will therefore need to have developed an outline assessment process and evaluation criteria by the end of May 2018 to enable ONR to incorporate details into the ITT procurement documentation.</w:t>
      </w:r>
    </w:p>
    <w:p w:rsidR="00EC719D" w:rsidRDefault="00EC719D" w:rsidP="008F0015">
      <w:pPr>
        <w:ind w:left="720" w:hanging="720"/>
        <w:jc w:val="both"/>
      </w:pPr>
    </w:p>
    <w:p w:rsidR="00D371B3" w:rsidRDefault="00D371B3" w:rsidP="008F0015">
      <w:pPr>
        <w:ind w:left="720" w:hanging="720"/>
        <w:jc w:val="both"/>
      </w:pPr>
    </w:p>
    <w:p w:rsidR="00D371B3" w:rsidRDefault="00D371B3" w:rsidP="008F0015">
      <w:pPr>
        <w:ind w:left="720" w:hanging="720"/>
        <w:jc w:val="both"/>
      </w:pPr>
    </w:p>
    <w:p w:rsidR="00EC719D" w:rsidRDefault="00EC719D" w:rsidP="008F0015">
      <w:pPr>
        <w:ind w:left="720" w:hanging="720"/>
        <w:jc w:val="both"/>
      </w:pPr>
      <w:r>
        <w:lastRenderedPageBreak/>
        <w:t>2.3</w:t>
      </w:r>
      <w:r>
        <w:tab/>
        <w:t>ONR expect the assessment scenario to test (but not be limited to) potential Tier 1 suppliers’ behavioural response to ONR rejecting proposed internal Tier 1 resource for a theoretical work package in favour of Tier 2 resource (external to the Tier 1 company but to be sourced via the Tier 1 company). The</w:t>
      </w:r>
      <w:r w:rsidR="00C37444">
        <w:t xml:space="preserve"> scope of services in Phase 1 above will </w:t>
      </w:r>
      <w:r>
        <w:t>include refinement and development of th</w:t>
      </w:r>
      <w:r w:rsidR="00C37444">
        <w:t>is outline</w:t>
      </w:r>
      <w:r>
        <w:t xml:space="preserve"> scenario</w:t>
      </w:r>
      <w:r w:rsidR="00C37444">
        <w:t>.</w:t>
      </w:r>
    </w:p>
    <w:p w:rsidR="008F0015" w:rsidRDefault="008F0015" w:rsidP="008F0015">
      <w:pPr>
        <w:ind w:left="720" w:hanging="720"/>
        <w:jc w:val="both"/>
      </w:pPr>
    </w:p>
    <w:p w:rsidR="00254AE9" w:rsidRDefault="008F0015" w:rsidP="008F0015">
      <w:pPr>
        <w:ind w:left="720" w:hanging="720"/>
        <w:jc w:val="both"/>
      </w:pPr>
      <w:r>
        <w:t>2.</w:t>
      </w:r>
      <w:r w:rsidR="00964436">
        <w:t>4</w:t>
      </w:r>
      <w:r>
        <w:tab/>
      </w:r>
      <w:r w:rsidR="00254AE9" w:rsidRPr="008F0015">
        <w:t>It is anticipated that there will be 6 suppliers requiring behavioural assessment. It is assumed for planning purposes that each supplier is assessed separately with each assessment lasting no more than half a day, with all 6 assessments being completed within a period of 3 days. Planning assumptions are subject to validation with the appointed supplier during development of the assessment process.</w:t>
      </w:r>
    </w:p>
    <w:p w:rsidR="008F0015" w:rsidRPr="008F0015" w:rsidRDefault="008F0015" w:rsidP="008F0015">
      <w:pPr>
        <w:ind w:left="720" w:hanging="720"/>
        <w:jc w:val="both"/>
      </w:pPr>
    </w:p>
    <w:p w:rsidR="00254AE9" w:rsidRPr="008F0015" w:rsidRDefault="008F0015" w:rsidP="008F0015">
      <w:pPr>
        <w:ind w:left="720" w:hanging="720"/>
        <w:jc w:val="both"/>
      </w:pPr>
      <w:r>
        <w:t>2.</w:t>
      </w:r>
      <w:r w:rsidR="00964436">
        <w:t>5</w:t>
      </w:r>
      <w:r>
        <w:tab/>
      </w:r>
      <w:r w:rsidR="00254AE9" w:rsidRPr="008F0015">
        <w:t xml:space="preserve">The ITT behavioural assessment workshops are scheduled to take place in </w:t>
      </w:r>
      <w:r w:rsidR="00D371B3">
        <w:t xml:space="preserve">            </w:t>
      </w:r>
      <w:r w:rsidR="00254AE9" w:rsidRPr="008F0015">
        <w:t>mid-August 2018</w:t>
      </w:r>
    </w:p>
    <w:p w:rsidR="00CF02A5" w:rsidRPr="008F0015" w:rsidRDefault="00CF02A5" w:rsidP="009108E4">
      <w:pPr>
        <w:ind w:left="720"/>
        <w:jc w:val="both"/>
      </w:pPr>
    </w:p>
    <w:p w:rsidR="00D75DA2" w:rsidRPr="00CA2D8A" w:rsidRDefault="00D75DA2" w:rsidP="00D75DA2">
      <w:pPr>
        <w:pStyle w:val="TSHeadingNumbered1"/>
      </w:pPr>
      <w:r w:rsidRPr="00CA2D8A">
        <w:t>OBJECTIVES</w:t>
      </w:r>
    </w:p>
    <w:p w:rsidR="00CF02A5" w:rsidRDefault="00990C13" w:rsidP="00D1255F">
      <w:pPr>
        <w:pStyle w:val="TSNumberedParagraph11"/>
      </w:pPr>
      <w:r>
        <w:t>The ultimate objective of this activity is to deliver a</w:t>
      </w:r>
      <w:r w:rsidR="00D1255F">
        <w:t xml:space="preserve"> robust, well-planned and well-executed behavioural assessment and evaluation process that clearly identifies – for ITT scoring purposes - alignment (or misalignment) of potential ONR ‘Tier 1’ suppliers with the behaviours required by ONR in the operation of its future Technical Support Framework.</w:t>
      </w:r>
    </w:p>
    <w:p w:rsidR="00990C13" w:rsidRDefault="00990C13" w:rsidP="00D1255F">
      <w:pPr>
        <w:pStyle w:val="TSNumberedParagraph11"/>
      </w:pPr>
      <w:r>
        <w:t>Phase 1 of the scope of services is to be delivered by 31</w:t>
      </w:r>
      <w:r w:rsidRPr="00990C13">
        <w:rPr>
          <w:vertAlign w:val="superscript"/>
        </w:rPr>
        <w:t>st</w:t>
      </w:r>
      <w:r>
        <w:t xml:space="preserve"> May 2018.</w:t>
      </w:r>
    </w:p>
    <w:p w:rsidR="00990C13" w:rsidRDefault="00990C13" w:rsidP="00D1255F">
      <w:pPr>
        <w:pStyle w:val="TSNumberedParagraph11"/>
      </w:pPr>
      <w:r>
        <w:t>Phase 2 of the scope of services is to be delivered by mid-August 2018.</w:t>
      </w:r>
    </w:p>
    <w:p w:rsidR="00D75DA2" w:rsidRPr="00D371B3" w:rsidRDefault="00D75DA2" w:rsidP="00D75DA2">
      <w:pPr>
        <w:pStyle w:val="TSHeadingNumbered1"/>
        <w:rPr>
          <w:szCs w:val="22"/>
        </w:rPr>
      </w:pPr>
      <w:r w:rsidRPr="00D371B3">
        <w:rPr>
          <w:rFonts w:cs="Arial"/>
          <w:bCs/>
          <w:szCs w:val="22"/>
        </w:rPr>
        <w:t>CONSTRAINTS</w:t>
      </w:r>
      <w:r w:rsidRPr="00D371B3">
        <w:rPr>
          <w:szCs w:val="22"/>
        </w:rPr>
        <w:t xml:space="preserve"> </w:t>
      </w:r>
    </w:p>
    <w:p w:rsidR="00546EBA" w:rsidRPr="00411848" w:rsidRDefault="00546EBA" w:rsidP="00546EBA">
      <w:pPr>
        <w:pStyle w:val="TSNumberedParagraph11"/>
        <w:numPr>
          <w:ilvl w:val="0"/>
          <w:numId w:val="30"/>
        </w:numPr>
        <w:jc w:val="both"/>
      </w:pPr>
      <w:r w:rsidRPr="00546EBA">
        <w:rPr>
          <w:rFonts w:cs="Arial"/>
          <w:iCs/>
          <w:szCs w:val="22"/>
        </w:rPr>
        <w:t xml:space="preserve">Conflict of interest - The person(s) carrying out the work must be able to demonstrate their independence from (or as a minimum, how they intend to mitigate potential conflicts of interest with) organisations likely to bid for inclusion on a future ONR framework. </w:t>
      </w:r>
    </w:p>
    <w:p w:rsidR="00411848" w:rsidRPr="00546EBA" w:rsidRDefault="00411848" w:rsidP="00411848">
      <w:pPr>
        <w:keepNext/>
        <w:numPr>
          <w:ilvl w:val="0"/>
          <w:numId w:val="30"/>
        </w:numPr>
        <w:tabs>
          <w:tab w:val="center" w:pos="4153"/>
          <w:tab w:val="right" w:pos="8306"/>
        </w:tabs>
        <w:spacing w:before="120" w:after="120"/>
        <w:rPr>
          <w:rFonts w:cs="Arial"/>
          <w:iCs/>
          <w:szCs w:val="22"/>
        </w:rPr>
      </w:pPr>
      <w:r w:rsidRPr="00546EBA">
        <w:rPr>
          <w:rFonts w:cs="Arial"/>
          <w:iCs/>
          <w:szCs w:val="22"/>
        </w:rPr>
        <w:t xml:space="preserve">Security considerations - The consultant should be cleared to a minimum of baseline personnel security standard (BPSS)  </w:t>
      </w:r>
    </w:p>
    <w:p w:rsidR="00411848" w:rsidRPr="00546EBA" w:rsidRDefault="00411848" w:rsidP="00411848">
      <w:pPr>
        <w:keepNext/>
        <w:numPr>
          <w:ilvl w:val="0"/>
          <w:numId w:val="30"/>
        </w:numPr>
        <w:tabs>
          <w:tab w:val="center" w:pos="4153"/>
          <w:tab w:val="right" w:pos="8306"/>
        </w:tabs>
        <w:spacing w:before="120" w:after="120"/>
        <w:rPr>
          <w:rFonts w:cs="Arial"/>
          <w:iCs/>
          <w:szCs w:val="22"/>
        </w:rPr>
      </w:pPr>
      <w:r w:rsidRPr="00546EBA">
        <w:rPr>
          <w:rFonts w:cs="Arial"/>
          <w:iCs/>
          <w:szCs w:val="22"/>
        </w:rPr>
        <w:t>Audit and documentation retention requirements - All material obtained/records or notes made etc. should be returned to ONR at the end of the work</w:t>
      </w:r>
    </w:p>
    <w:p w:rsidR="00411848" w:rsidRDefault="00411848" w:rsidP="00411848">
      <w:pPr>
        <w:keepNext/>
        <w:numPr>
          <w:ilvl w:val="0"/>
          <w:numId w:val="30"/>
        </w:numPr>
        <w:tabs>
          <w:tab w:val="center" w:pos="4153"/>
          <w:tab w:val="right" w:pos="8306"/>
        </w:tabs>
        <w:spacing w:before="120" w:after="120"/>
        <w:rPr>
          <w:rFonts w:cs="Arial"/>
          <w:iCs/>
          <w:szCs w:val="22"/>
        </w:rPr>
      </w:pPr>
      <w:r w:rsidRPr="00546EBA">
        <w:rPr>
          <w:rFonts w:cs="Arial"/>
          <w:iCs/>
          <w:szCs w:val="22"/>
        </w:rPr>
        <w:t>Confidentiality considerations – The successful supplier will be expected to sign a confidentiality agreement with ONR to include a condition that there should be no disclosure to third parties without ONR written permission</w:t>
      </w:r>
    </w:p>
    <w:p w:rsidR="00411848" w:rsidRDefault="00411848" w:rsidP="00411848">
      <w:pPr>
        <w:keepNext/>
        <w:numPr>
          <w:ilvl w:val="0"/>
          <w:numId w:val="30"/>
        </w:numPr>
        <w:tabs>
          <w:tab w:val="center" w:pos="4153"/>
          <w:tab w:val="right" w:pos="8306"/>
        </w:tabs>
        <w:spacing w:before="120" w:after="120"/>
        <w:rPr>
          <w:rFonts w:cs="Arial"/>
          <w:iCs/>
          <w:szCs w:val="22"/>
        </w:rPr>
      </w:pPr>
      <w:r>
        <w:rPr>
          <w:rFonts w:cs="Arial"/>
          <w:iCs/>
          <w:szCs w:val="22"/>
        </w:rPr>
        <w:t>The supplier will be expected to be available for meetings at ONR’s Bootle offices during Phase 1. Phase 2 will be delivered at ONR’s Bootle offices.</w:t>
      </w:r>
    </w:p>
    <w:p w:rsidR="00546EBA" w:rsidRDefault="00546EBA" w:rsidP="00546EBA">
      <w:pPr>
        <w:keepNext/>
        <w:tabs>
          <w:tab w:val="center" w:pos="4153"/>
          <w:tab w:val="right" w:pos="8306"/>
        </w:tabs>
        <w:spacing w:before="120" w:after="120"/>
        <w:ind w:left="1440"/>
      </w:pPr>
    </w:p>
    <w:p w:rsidR="00D75DA2" w:rsidRDefault="00D75DA2" w:rsidP="00D75DA2">
      <w:pPr>
        <w:pStyle w:val="TSHeadingNumbered1"/>
      </w:pPr>
      <w:r w:rsidRPr="00207F68">
        <w:t>CONTRACT MANAGEMENT</w:t>
      </w:r>
    </w:p>
    <w:p w:rsidR="00D75DA2" w:rsidRDefault="00D75DA2" w:rsidP="00E9478E">
      <w:pPr>
        <w:pStyle w:val="TSNumberedParagraph11"/>
        <w:jc w:val="both"/>
      </w:pPr>
      <w:r w:rsidRPr="00892734">
        <w:t xml:space="preserve">ONR will require to be kept updated about progress and delivery of the required work via monthly meetings, to include a contract start-up meeting at ONR’s offices at Bootle. Subsequent progress meeting should be arranged with the ONR Project </w:t>
      </w:r>
      <w:r w:rsidR="00990C13">
        <w:t>Manager</w:t>
      </w:r>
      <w:r w:rsidRPr="00892734">
        <w:t xml:space="preserve"> and can be held at ONR’s office in Bootle, or the contractor’s premises.</w:t>
      </w:r>
    </w:p>
    <w:p w:rsidR="00D371B3" w:rsidRDefault="00D371B3" w:rsidP="00D371B3">
      <w:pPr>
        <w:pStyle w:val="TSHeadingNumbered1"/>
        <w:numPr>
          <w:ilvl w:val="0"/>
          <w:numId w:val="0"/>
        </w:numPr>
        <w:ind w:left="720" w:hanging="720"/>
      </w:pPr>
    </w:p>
    <w:p w:rsidR="00D371B3" w:rsidRDefault="00D371B3" w:rsidP="00D371B3">
      <w:pPr>
        <w:pStyle w:val="TSHeadingNumbered1"/>
        <w:numPr>
          <w:ilvl w:val="0"/>
          <w:numId w:val="0"/>
        </w:numPr>
        <w:ind w:left="720" w:hanging="720"/>
      </w:pPr>
    </w:p>
    <w:p w:rsidR="00D371B3" w:rsidRDefault="00D371B3" w:rsidP="00D371B3">
      <w:pPr>
        <w:pStyle w:val="TSHeadingNumbered1"/>
        <w:numPr>
          <w:ilvl w:val="0"/>
          <w:numId w:val="0"/>
        </w:numPr>
        <w:ind w:left="720" w:hanging="720"/>
      </w:pPr>
    </w:p>
    <w:p w:rsidR="00D371B3" w:rsidRDefault="00D371B3" w:rsidP="00D371B3">
      <w:pPr>
        <w:pStyle w:val="TSHeadingNumbered1"/>
        <w:tabs>
          <w:tab w:val="clear" w:pos="-31680"/>
        </w:tabs>
      </w:pPr>
      <w:r w:rsidRPr="00CA2D8A">
        <w:lastRenderedPageBreak/>
        <w:t>TENDER SUBMISSIONS</w:t>
      </w:r>
      <w:r>
        <w:t xml:space="preserve"> </w:t>
      </w:r>
    </w:p>
    <w:p w:rsidR="00D371B3" w:rsidRDefault="00D371B3" w:rsidP="00D371B3">
      <w:pPr>
        <w:pStyle w:val="TSNumberedParagraph11"/>
        <w:jc w:val="both"/>
      </w:pPr>
      <w:r>
        <w:t>Tenderers are required to provide the following as part of their response:</w:t>
      </w:r>
    </w:p>
    <w:p w:rsidR="00D371B3" w:rsidRPr="004421CA" w:rsidRDefault="00D371B3" w:rsidP="00D371B3">
      <w:pPr>
        <w:pStyle w:val="TSBullet1Square"/>
      </w:pPr>
      <w:r>
        <w:t>Narrative</w:t>
      </w:r>
      <w:r w:rsidRPr="004421CA">
        <w:t xml:space="preserve"> description of how they will deliver the work and the resources they will use;</w:t>
      </w:r>
    </w:p>
    <w:p w:rsidR="00D371B3" w:rsidRPr="004421CA" w:rsidRDefault="00D371B3" w:rsidP="00D371B3">
      <w:pPr>
        <w:pStyle w:val="TSBullet1Square"/>
      </w:pPr>
      <w:r>
        <w:t>Detailed description of example/s (maximum of two) of similar previous work – examples of behavioural assessment within (or in respect of) the nuclear supply chain and its commercial practices is of particular relevance</w:t>
      </w:r>
      <w:r w:rsidRPr="004421CA">
        <w:t>;</w:t>
      </w:r>
    </w:p>
    <w:p w:rsidR="00D371B3" w:rsidRDefault="00D371B3" w:rsidP="00D371B3">
      <w:pPr>
        <w:pStyle w:val="TSBullet1Square"/>
      </w:pPr>
      <w:r w:rsidRPr="004421CA">
        <w:t>the CVs and details of any staff who will be undertaking the work;</w:t>
      </w:r>
    </w:p>
    <w:p w:rsidR="00D371B3" w:rsidRDefault="00D371B3" w:rsidP="00D371B3">
      <w:pPr>
        <w:pStyle w:val="TSBullet1Square"/>
      </w:pPr>
      <w:r>
        <w:t>Fixed price for delivering the scope of services as detailed in section 2;</w:t>
      </w:r>
    </w:p>
    <w:p w:rsidR="00D371B3" w:rsidRPr="004421CA" w:rsidRDefault="00D371B3" w:rsidP="00D371B3">
      <w:pPr>
        <w:pStyle w:val="TSBullet1Square"/>
      </w:pPr>
      <w:r>
        <w:t>Project plan detailing the activities required to deliver the scope of services in accordance with the planning assumptions outlined in sections 2.2 to 2.5 above</w:t>
      </w:r>
    </w:p>
    <w:p w:rsidR="00D371B3" w:rsidRDefault="00D371B3" w:rsidP="00D371B3">
      <w:pPr>
        <w:pStyle w:val="TSHeadingNumbered1"/>
        <w:numPr>
          <w:ilvl w:val="0"/>
          <w:numId w:val="0"/>
        </w:numPr>
        <w:ind w:left="720" w:hanging="720"/>
      </w:pPr>
    </w:p>
    <w:p w:rsidR="00D75DA2" w:rsidRDefault="00D75DA2" w:rsidP="00A20010">
      <w:pPr>
        <w:pStyle w:val="TSNumberedParagraph11"/>
        <w:numPr>
          <w:ilvl w:val="0"/>
          <w:numId w:val="0"/>
        </w:numPr>
        <w:jc w:val="both"/>
      </w:pPr>
    </w:p>
    <w:p w:rsidR="00D75DA2" w:rsidRDefault="00D75DA2" w:rsidP="00D75DA2">
      <w:pPr>
        <w:pStyle w:val="TSNumberedParagraph11"/>
        <w:numPr>
          <w:ilvl w:val="0"/>
          <w:numId w:val="0"/>
        </w:numPr>
        <w:ind w:left="720"/>
      </w:pPr>
    </w:p>
    <w:sectPr w:rsidR="00D75DA2" w:rsidSect="00411848">
      <w:headerReference w:type="default" r:id="rId10"/>
      <w:footerReference w:type="default" r:id="rId11"/>
      <w:headerReference w:type="first" r:id="rId12"/>
      <w:footerReference w:type="first" r:id="rId13"/>
      <w:type w:val="continuous"/>
      <w:pgSz w:w="11906" w:h="16838" w:code="9"/>
      <w:pgMar w:top="1134" w:right="1134" w:bottom="993" w:left="1588"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041" w:rsidRDefault="00647041">
      <w:r>
        <w:separator/>
      </w:r>
    </w:p>
  </w:endnote>
  <w:endnote w:type="continuationSeparator" w:id="0">
    <w:p w:rsidR="00647041" w:rsidRDefault="0064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1B3" w:rsidRPr="00D371B3" w:rsidRDefault="00D371B3">
    <w:pPr>
      <w:pStyle w:val="Footer"/>
      <w:jc w:val="center"/>
      <w:rPr>
        <w:sz w:val="16"/>
        <w:szCs w:val="16"/>
      </w:rPr>
    </w:pPr>
    <w:r w:rsidRPr="00D371B3">
      <w:rPr>
        <w:sz w:val="16"/>
        <w:szCs w:val="16"/>
      </w:rPr>
      <w:t xml:space="preserve">Page </w:t>
    </w:r>
    <w:r w:rsidRPr="00D371B3">
      <w:rPr>
        <w:b/>
        <w:bCs/>
        <w:sz w:val="16"/>
        <w:szCs w:val="16"/>
      </w:rPr>
      <w:fldChar w:fldCharType="begin"/>
    </w:r>
    <w:r w:rsidRPr="00D371B3">
      <w:rPr>
        <w:b/>
        <w:bCs/>
        <w:sz w:val="16"/>
        <w:szCs w:val="16"/>
      </w:rPr>
      <w:instrText xml:space="preserve"> PAGE </w:instrText>
    </w:r>
    <w:r w:rsidRPr="00D371B3">
      <w:rPr>
        <w:b/>
        <w:bCs/>
        <w:sz w:val="16"/>
        <w:szCs w:val="16"/>
      </w:rPr>
      <w:fldChar w:fldCharType="separate"/>
    </w:r>
    <w:r w:rsidR="009865DD">
      <w:rPr>
        <w:b/>
        <w:bCs/>
        <w:noProof/>
        <w:sz w:val="16"/>
        <w:szCs w:val="16"/>
      </w:rPr>
      <w:t>2</w:t>
    </w:r>
    <w:r w:rsidRPr="00D371B3">
      <w:rPr>
        <w:b/>
        <w:bCs/>
        <w:sz w:val="16"/>
        <w:szCs w:val="16"/>
      </w:rPr>
      <w:fldChar w:fldCharType="end"/>
    </w:r>
    <w:r w:rsidRPr="00D371B3">
      <w:rPr>
        <w:sz w:val="16"/>
        <w:szCs w:val="16"/>
      </w:rPr>
      <w:t xml:space="preserve"> of </w:t>
    </w:r>
    <w:r w:rsidRPr="00D371B3">
      <w:rPr>
        <w:b/>
        <w:bCs/>
        <w:sz w:val="16"/>
        <w:szCs w:val="16"/>
      </w:rPr>
      <w:fldChar w:fldCharType="begin"/>
    </w:r>
    <w:r w:rsidRPr="00D371B3">
      <w:rPr>
        <w:b/>
        <w:bCs/>
        <w:sz w:val="16"/>
        <w:szCs w:val="16"/>
      </w:rPr>
      <w:instrText xml:space="preserve"> NUMPAGES  </w:instrText>
    </w:r>
    <w:r w:rsidRPr="00D371B3">
      <w:rPr>
        <w:b/>
        <w:bCs/>
        <w:sz w:val="16"/>
        <w:szCs w:val="16"/>
      </w:rPr>
      <w:fldChar w:fldCharType="separate"/>
    </w:r>
    <w:r w:rsidR="009865DD">
      <w:rPr>
        <w:b/>
        <w:bCs/>
        <w:noProof/>
        <w:sz w:val="16"/>
        <w:szCs w:val="16"/>
      </w:rPr>
      <w:t>3</w:t>
    </w:r>
    <w:r w:rsidRPr="00D371B3">
      <w:rPr>
        <w:b/>
        <w:bCs/>
        <w:sz w:val="16"/>
        <w:szCs w:val="16"/>
      </w:rPr>
      <w:fldChar w:fldCharType="end"/>
    </w:r>
  </w:p>
  <w:p w:rsidR="00D75DA2" w:rsidRDefault="00D75DA2" w:rsidP="00BC5FC8">
    <w:pPr>
      <w:pStyle w:val="Footer"/>
      <w:tabs>
        <w:tab w:val="clear" w:pos="4153"/>
        <w:tab w:val="clear" w:pos="8306"/>
        <w:tab w:val="right" w:pos="9214"/>
      </w:tabs>
      <w:jc w:val="center"/>
      <w:rPr>
        <w:color w:val="006D68"/>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1B3" w:rsidRPr="00D371B3" w:rsidRDefault="00D371B3">
    <w:pPr>
      <w:pStyle w:val="Footer"/>
      <w:jc w:val="center"/>
      <w:rPr>
        <w:sz w:val="16"/>
        <w:szCs w:val="16"/>
      </w:rPr>
    </w:pPr>
    <w:r w:rsidRPr="00D371B3">
      <w:rPr>
        <w:sz w:val="16"/>
        <w:szCs w:val="16"/>
      </w:rPr>
      <w:t xml:space="preserve">Page </w:t>
    </w:r>
    <w:r w:rsidRPr="00D371B3">
      <w:rPr>
        <w:b/>
        <w:bCs/>
        <w:sz w:val="16"/>
        <w:szCs w:val="16"/>
      </w:rPr>
      <w:fldChar w:fldCharType="begin"/>
    </w:r>
    <w:r w:rsidRPr="00D371B3">
      <w:rPr>
        <w:b/>
        <w:bCs/>
        <w:sz w:val="16"/>
        <w:szCs w:val="16"/>
      </w:rPr>
      <w:instrText xml:space="preserve"> PAGE </w:instrText>
    </w:r>
    <w:r w:rsidRPr="00D371B3">
      <w:rPr>
        <w:b/>
        <w:bCs/>
        <w:sz w:val="16"/>
        <w:szCs w:val="16"/>
      </w:rPr>
      <w:fldChar w:fldCharType="separate"/>
    </w:r>
    <w:r w:rsidR="009865DD">
      <w:rPr>
        <w:b/>
        <w:bCs/>
        <w:noProof/>
        <w:sz w:val="16"/>
        <w:szCs w:val="16"/>
      </w:rPr>
      <w:t>1</w:t>
    </w:r>
    <w:r w:rsidRPr="00D371B3">
      <w:rPr>
        <w:b/>
        <w:bCs/>
        <w:sz w:val="16"/>
        <w:szCs w:val="16"/>
      </w:rPr>
      <w:fldChar w:fldCharType="end"/>
    </w:r>
    <w:r w:rsidRPr="00D371B3">
      <w:rPr>
        <w:sz w:val="16"/>
        <w:szCs w:val="16"/>
      </w:rPr>
      <w:t xml:space="preserve"> of </w:t>
    </w:r>
    <w:r w:rsidRPr="00D371B3">
      <w:rPr>
        <w:b/>
        <w:bCs/>
        <w:sz w:val="16"/>
        <w:szCs w:val="16"/>
      </w:rPr>
      <w:fldChar w:fldCharType="begin"/>
    </w:r>
    <w:r w:rsidRPr="00D371B3">
      <w:rPr>
        <w:b/>
        <w:bCs/>
        <w:sz w:val="16"/>
        <w:szCs w:val="16"/>
      </w:rPr>
      <w:instrText xml:space="preserve"> NUMPAGES  </w:instrText>
    </w:r>
    <w:r w:rsidRPr="00D371B3">
      <w:rPr>
        <w:b/>
        <w:bCs/>
        <w:sz w:val="16"/>
        <w:szCs w:val="16"/>
      </w:rPr>
      <w:fldChar w:fldCharType="separate"/>
    </w:r>
    <w:r w:rsidR="009865DD">
      <w:rPr>
        <w:b/>
        <w:bCs/>
        <w:noProof/>
        <w:sz w:val="16"/>
        <w:szCs w:val="16"/>
      </w:rPr>
      <w:t>3</w:t>
    </w:r>
    <w:r w:rsidRPr="00D371B3">
      <w:rPr>
        <w:b/>
        <w:bCs/>
        <w:sz w:val="16"/>
        <w:szCs w:val="16"/>
      </w:rPr>
      <w:fldChar w:fldCharType="end"/>
    </w:r>
  </w:p>
  <w:p w:rsidR="00D75DA2" w:rsidRPr="00D371B3" w:rsidRDefault="00D75DA2" w:rsidP="00D371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041" w:rsidRDefault="00647041">
      <w:r>
        <w:separator/>
      </w:r>
    </w:p>
  </w:footnote>
  <w:footnote w:type="continuationSeparator" w:id="0">
    <w:p w:rsidR="00647041" w:rsidRDefault="00647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Pr="00D371B3" w:rsidRDefault="00D371B3" w:rsidP="00D371B3">
    <w:pPr>
      <w:pStyle w:val="Header"/>
      <w:rPr>
        <w:b/>
        <w:sz w:val="20"/>
        <w:szCs w:val="20"/>
      </w:rPr>
    </w:pPr>
    <w:r w:rsidRPr="00D371B3">
      <w:rPr>
        <w:b/>
        <w:sz w:val="20"/>
        <w:szCs w:val="20"/>
      </w:rPr>
      <w:t>ONR/T3245</w:t>
    </w:r>
  </w:p>
  <w:p w:rsidR="00D371B3" w:rsidRPr="00D371B3" w:rsidRDefault="00D371B3" w:rsidP="00D371B3">
    <w:pPr>
      <w:pStyle w:val="Header"/>
      <w:rPr>
        <w:b/>
        <w:sz w:val="20"/>
        <w:szCs w:val="20"/>
      </w:rPr>
    </w:pPr>
    <w:r w:rsidRPr="00D371B3">
      <w:rPr>
        <w:b/>
        <w:sz w:val="20"/>
        <w:szCs w:val="20"/>
      </w:rPr>
      <w:t>Schedule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1B3" w:rsidRDefault="00D371B3" w:rsidP="00D371B3">
    <w:pPr>
      <w:pStyle w:val="Header"/>
      <w:rPr>
        <w:b/>
        <w:sz w:val="20"/>
        <w:szCs w:val="20"/>
      </w:rPr>
    </w:pPr>
  </w:p>
  <w:p w:rsidR="00D371B3" w:rsidRDefault="00D371B3" w:rsidP="00D371B3">
    <w:pPr>
      <w:pStyle w:val="Header"/>
      <w:rPr>
        <w:b/>
        <w:sz w:val="20"/>
        <w:szCs w:val="20"/>
      </w:rPr>
    </w:pPr>
  </w:p>
  <w:p w:rsidR="00A25EB0" w:rsidRPr="00C754D7" w:rsidRDefault="00A25EB0" w:rsidP="00D371B3">
    <w:pPr>
      <w:pStyle w:val="Header"/>
      <w:rPr>
        <w:b/>
        <w:sz w:val="20"/>
        <w:szCs w:val="20"/>
      </w:rPr>
    </w:pPr>
    <w:r>
      <w:rPr>
        <w:b/>
        <w:sz w:val="20"/>
        <w:szCs w:val="20"/>
      </w:rPr>
      <w:t>ONR/T</w:t>
    </w:r>
    <w:r w:rsidR="00D371B3">
      <w:rPr>
        <w:b/>
        <w:sz w:val="20"/>
        <w:szCs w:val="20"/>
      </w:rPr>
      <w:t>3245</w:t>
    </w:r>
  </w:p>
  <w:p w:rsidR="00A25EB0" w:rsidRPr="00C754D7" w:rsidRDefault="00A25EB0" w:rsidP="00D371B3">
    <w:pPr>
      <w:pStyle w:val="Header"/>
      <w:rPr>
        <w:b/>
        <w:sz w:val="20"/>
        <w:szCs w:val="20"/>
      </w:rPr>
    </w:pPr>
    <w:r w:rsidRPr="00C754D7">
      <w:rPr>
        <w:b/>
        <w:sz w:val="20"/>
        <w:szCs w:val="20"/>
      </w:rPr>
      <w:t>S</w:t>
    </w:r>
    <w:r w:rsidR="00D371B3">
      <w:rPr>
        <w:b/>
        <w:sz w:val="20"/>
        <w:szCs w:val="20"/>
      </w:rPr>
      <w:t>chedule</w:t>
    </w:r>
    <w:r w:rsidRPr="00C754D7">
      <w:rPr>
        <w:b/>
        <w:sz w:val="20"/>
        <w:szCs w:val="20"/>
      </w:rPr>
      <w:t xml:space="preserve"> A </w:t>
    </w:r>
  </w:p>
  <w:p w:rsidR="00D75DA2" w:rsidRDefault="00D75DA2" w:rsidP="007D545C">
    <w:pPr>
      <w:pStyle w:val="Header"/>
      <w:jc w:val="center"/>
      <w:rPr>
        <w:b/>
        <w:color w:val="006D68"/>
        <w:sz w:val="14"/>
        <w:szCs w:val="14"/>
      </w:rPr>
    </w:pP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2591CCF"/>
    <w:multiLevelType w:val="hybridMultilevel"/>
    <w:tmpl w:val="D5FA5D58"/>
    <w:lvl w:ilvl="0" w:tplc="8946DA4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A4F03C9"/>
    <w:multiLevelType w:val="hybridMultilevel"/>
    <w:tmpl w:val="84B48D36"/>
    <w:lvl w:ilvl="0" w:tplc="DEF6308A">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11">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9A5C61"/>
    <w:multiLevelType w:val="hybridMultilevel"/>
    <w:tmpl w:val="4D7E4EA4"/>
    <w:lvl w:ilvl="0" w:tplc="08090017">
      <w:start w:val="1"/>
      <w:numFmt w:val="lowerLetter"/>
      <w:lvlText w:val="%1)"/>
      <w:lvlJc w:val="left"/>
      <w:pPr>
        <w:tabs>
          <w:tab w:val="num" w:pos="1080"/>
        </w:tabs>
        <w:ind w:left="1080" w:hanging="360"/>
      </w:p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5">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6">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8">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0">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nsid w:val="6A0E5F4B"/>
    <w:multiLevelType w:val="hybridMultilevel"/>
    <w:tmpl w:val="A38A5414"/>
    <w:lvl w:ilvl="0" w:tplc="B8E8258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4">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7">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17"/>
  </w:num>
  <w:num w:numId="4">
    <w:abstractNumId w:val="0"/>
  </w:num>
  <w:num w:numId="5">
    <w:abstractNumId w:val="15"/>
  </w:num>
  <w:num w:numId="6">
    <w:abstractNumId w:val="27"/>
  </w:num>
  <w:num w:numId="7">
    <w:abstractNumId w:val="23"/>
  </w:num>
  <w:num w:numId="8">
    <w:abstractNumId w:val="19"/>
  </w:num>
  <w:num w:numId="9">
    <w:abstractNumId w:val="28"/>
  </w:num>
  <w:num w:numId="10">
    <w:abstractNumId w:val="2"/>
  </w:num>
  <w:num w:numId="11">
    <w:abstractNumId w:val="8"/>
  </w:num>
  <w:num w:numId="12">
    <w:abstractNumId w:val="11"/>
  </w:num>
  <w:num w:numId="13">
    <w:abstractNumId w:val="1"/>
  </w:num>
  <w:num w:numId="14">
    <w:abstractNumId w:val="20"/>
  </w:num>
  <w:num w:numId="15">
    <w:abstractNumId w:val="12"/>
  </w:num>
  <w:num w:numId="16">
    <w:abstractNumId w:val="25"/>
  </w:num>
  <w:num w:numId="17">
    <w:abstractNumId w:val="9"/>
  </w:num>
  <w:num w:numId="18">
    <w:abstractNumId w:val="18"/>
  </w:num>
  <w:num w:numId="19">
    <w:abstractNumId w:val="16"/>
  </w:num>
  <w:num w:numId="20">
    <w:abstractNumId w:val="3"/>
  </w:num>
  <w:num w:numId="21">
    <w:abstractNumId w:val="26"/>
  </w:num>
  <w:num w:numId="22">
    <w:abstractNumId w:val="5"/>
  </w:num>
  <w:num w:numId="23">
    <w:abstractNumId w:val="21"/>
  </w:num>
  <w:num w:numId="24">
    <w:abstractNumId w:val="24"/>
  </w:num>
  <w:num w:numId="25">
    <w:abstractNumId w:val="13"/>
  </w:num>
  <w:num w:numId="26">
    <w:abstractNumId w:val="7"/>
  </w:num>
  <w:num w:numId="27">
    <w:abstractNumId w:val="22"/>
  </w:num>
  <w:num w:numId="28">
    <w:abstractNumId w:val="4"/>
  </w:num>
  <w:num w:numId="29">
    <w:abstractNumId w:val="6"/>
  </w:num>
  <w:num w:numId="30">
    <w:abstractNumId w:val="14"/>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30D3C"/>
    <w:rsid w:val="000312D3"/>
    <w:rsid w:val="000375D1"/>
    <w:rsid w:val="000715BD"/>
    <w:rsid w:val="00076D71"/>
    <w:rsid w:val="00096F71"/>
    <w:rsid w:val="000B1830"/>
    <w:rsid w:val="000B4E40"/>
    <w:rsid w:val="000D6244"/>
    <w:rsid w:val="000E4BE5"/>
    <w:rsid w:val="00121C8F"/>
    <w:rsid w:val="00131ECC"/>
    <w:rsid w:val="00135FD1"/>
    <w:rsid w:val="00144CEA"/>
    <w:rsid w:val="00164F4F"/>
    <w:rsid w:val="0016608F"/>
    <w:rsid w:val="001A58B1"/>
    <w:rsid w:val="001C3DB8"/>
    <w:rsid w:val="001D78A1"/>
    <w:rsid w:val="00200CB7"/>
    <w:rsid w:val="0021074A"/>
    <w:rsid w:val="00216018"/>
    <w:rsid w:val="00254AE9"/>
    <w:rsid w:val="00275B3A"/>
    <w:rsid w:val="0028011F"/>
    <w:rsid w:val="0028356A"/>
    <w:rsid w:val="00297401"/>
    <w:rsid w:val="002B05EC"/>
    <w:rsid w:val="0031706E"/>
    <w:rsid w:val="0034088F"/>
    <w:rsid w:val="003B4AA2"/>
    <w:rsid w:val="003C4CFD"/>
    <w:rsid w:val="003D005E"/>
    <w:rsid w:val="003E2CA6"/>
    <w:rsid w:val="003E452E"/>
    <w:rsid w:val="00411848"/>
    <w:rsid w:val="004750A2"/>
    <w:rsid w:val="00487A22"/>
    <w:rsid w:val="004A7B1B"/>
    <w:rsid w:val="004F24BC"/>
    <w:rsid w:val="0050333E"/>
    <w:rsid w:val="005322E6"/>
    <w:rsid w:val="00546EBA"/>
    <w:rsid w:val="005507DA"/>
    <w:rsid w:val="005556C6"/>
    <w:rsid w:val="00556CF8"/>
    <w:rsid w:val="00562F2F"/>
    <w:rsid w:val="005972F3"/>
    <w:rsid w:val="005A1570"/>
    <w:rsid w:val="005A5A87"/>
    <w:rsid w:val="00604F23"/>
    <w:rsid w:val="00647041"/>
    <w:rsid w:val="006A667F"/>
    <w:rsid w:val="006B2DA6"/>
    <w:rsid w:val="006C519A"/>
    <w:rsid w:val="006F1199"/>
    <w:rsid w:val="006F5420"/>
    <w:rsid w:val="00715C62"/>
    <w:rsid w:val="0072164C"/>
    <w:rsid w:val="007B4EE0"/>
    <w:rsid w:val="007C0A98"/>
    <w:rsid w:val="007D545C"/>
    <w:rsid w:val="007F2C5A"/>
    <w:rsid w:val="007F3258"/>
    <w:rsid w:val="007F7246"/>
    <w:rsid w:val="00891423"/>
    <w:rsid w:val="008A7BDD"/>
    <w:rsid w:val="008C6A36"/>
    <w:rsid w:val="008D71E9"/>
    <w:rsid w:val="008E67CB"/>
    <w:rsid w:val="008F0015"/>
    <w:rsid w:val="0091041C"/>
    <w:rsid w:val="009108E4"/>
    <w:rsid w:val="00932851"/>
    <w:rsid w:val="00964436"/>
    <w:rsid w:val="009678DE"/>
    <w:rsid w:val="009765DB"/>
    <w:rsid w:val="009865DD"/>
    <w:rsid w:val="00987AA6"/>
    <w:rsid w:val="00990B55"/>
    <w:rsid w:val="00990C13"/>
    <w:rsid w:val="009946AD"/>
    <w:rsid w:val="009B5159"/>
    <w:rsid w:val="009D3CD0"/>
    <w:rsid w:val="009F1B6F"/>
    <w:rsid w:val="009F3D37"/>
    <w:rsid w:val="00A043A6"/>
    <w:rsid w:val="00A20010"/>
    <w:rsid w:val="00A25EB0"/>
    <w:rsid w:val="00A41FDA"/>
    <w:rsid w:val="00A43CE8"/>
    <w:rsid w:val="00A442D1"/>
    <w:rsid w:val="00A80F3A"/>
    <w:rsid w:val="00A864A6"/>
    <w:rsid w:val="00AB2BB0"/>
    <w:rsid w:val="00AB7147"/>
    <w:rsid w:val="00AD5635"/>
    <w:rsid w:val="00AE199F"/>
    <w:rsid w:val="00B255B3"/>
    <w:rsid w:val="00B43C54"/>
    <w:rsid w:val="00B504F7"/>
    <w:rsid w:val="00B56CCE"/>
    <w:rsid w:val="00B81B18"/>
    <w:rsid w:val="00BC24ED"/>
    <w:rsid w:val="00BC5FC8"/>
    <w:rsid w:val="00C25583"/>
    <w:rsid w:val="00C37444"/>
    <w:rsid w:val="00C67082"/>
    <w:rsid w:val="00C75298"/>
    <w:rsid w:val="00C75A1C"/>
    <w:rsid w:val="00C76587"/>
    <w:rsid w:val="00CA3B14"/>
    <w:rsid w:val="00CD7B5F"/>
    <w:rsid w:val="00CE5958"/>
    <w:rsid w:val="00CE6571"/>
    <w:rsid w:val="00CF02A5"/>
    <w:rsid w:val="00D1255F"/>
    <w:rsid w:val="00D3061A"/>
    <w:rsid w:val="00D371B3"/>
    <w:rsid w:val="00D55197"/>
    <w:rsid w:val="00D75DA2"/>
    <w:rsid w:val="00D7747E"/>
    <w:rsid w:val="00DC6611"/>
    <w:rsid w:val="00DE4417"/>
    <w:rsid w:val="00DF3697"/>
    <w:rsid w:val="00E12A39"/>
    <w:rsid w:val="00E32F3B"/>
    <w:rsid w:val="00E519EA"/>
    <w:rsid w:val="00E71B0C"/>
    <w:rsid w:val="00E87C8C"/>
    <w:rsid w:val="00E9478E"/>
    <w:rsid w:val="00E97293"/>
    <w:rsid w:val="00EA5EB4"/>
    <w:rsid w:val="00EC04F5"/>
    <w:rsid w:val="00EC719D"/>
    <w:rsid w:val="00ED5F2B"/>
    <w:rsid w:val="00EE35CB"/>
    <w:rsid w:val="00F67ACA"/>
    <w:rsid w:val="00FD0C4A"/>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link w:val="FooterChar"/>
    <w:uiPriority w:val="99"/>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customStyle="1" w:styleId="FooterChar">
    <w:name w:val="Footer Char"/>
    <w:link w:val="Footer"/>
    <w:uiPriority w:val="99"/>
    <w:rsid w:val="00D371B3"/>
    <w:rPr>
      <w:rFonts w:ascii="Arial" w:hAnsi="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link w:val="FooterChar"/>
    <w:uiPriority w:val="99"/>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customStyle="1" w:styleId="FooterChar">
    <w:name w:val="Footer Char"/>
    <w:link w:val="Footer"/>
    <w:uiPriority w:val="99"/>
    <w:rsid w:val="00D371B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926157771">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16907274">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5048</Characters>
  <Application>Microsoft Office Word</Application>
  <DocSecurity>0</DocSecurity>
  <Lines>109</Lines>
  <Paragraphs>44</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Name</cp:lastModifiedBy>
  <cp:revision>2</cp:revision>
  <cp:lastPrinted>2018-04-18T14:31:00Z</cp:lastPrinted>
  <dcterms:created xsi:type="dcterms:W3CDTF">2018-04-19T09:19:00Z</dcterms:created>
  <dcterms:modified xsi:type="dcterms:W3CDTF">2018-04-19T09:19:00Z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